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120" w:line="480"/>
        <w:ind w:left="120"/>
        <w:jc w:val="right"/>
      </w:pPr>
      <w:r>
        <w:rPr>
          <w:rFonts w:ascii="Times New Roman" w:hAnsi="Times New Roman"/>
          <w:b/>
          <w:i w:val="false"/>
          <w:color w:val="000000"/>
          <w:sz w:val="28"/>
        </w:rPr>
        <w:t>RA 26-101</w:t>
      </w: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center"/>
      </w:pPr>
      <w:r>
        <w:rPr>
          <w:rFonts w:ascii="Times New Roman" w:hAnsi="Times New Roman"/>
          <w:b/>
          <w:i w:val="false"/>
          <w:color w:val="000000"/>
          <w:sz w:val="28"/>
        </w:rPr>
        <w:t>SOIL CONSERVATION AND WATER QUALITY DIVISION[27]</w:t>
      </w:r>
    </w:p>
    <w:p>
      <w:pPr>
        <w:pBdr>
          <w:top w:space="9"/>
        </w:pBdr>
        <w:spacing w:before="0" w:after="200" w:line="480"/>
        <w:ind w:left="120"/>
        <w:jc w:val="center"/>
      </w:pPr>
      <w:r>
        <w:rPr>
          <w:rFonts w:ascii="Times New Roman" w:hAnsi="Times New Roman"/>
          <w:b/>
          <w:i w:val="false"/>
          <w:color w:val="000000"/>
          <w:sz w:val="24"/>
        </w:rPr>
        <w:t>Regulatory Analysis</w:t>
      </w:r>
    </w:p>
    <w:p>
      <w:pP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4"/>
        </w:rPr>
        <w:t>Notice of Intended Action to be published: 27—Chapter 20</w:t>
      </w:r>
    </w:p>
    <w:p>
      <w:pP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4"/>
        </w:rPr>
        <w:t>“Iowa Soil 2000 Program”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Iowa Code section(s) or chapter(s) authorizing rulemaking: 161A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State or federal law(s) implemented by the rulemaking: Iowa Code chapters 161A and 161C and section 455A.19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Public Hearing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A public hearing at which persons may present their views orally or in writing will be held as follows: </w:t>
      </w:r>
    </w:p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5632"/>
        <w:gridCol w:w="5632"/>
      </w:tblGrid>
      <w:tr>
        <w:trPr>
          <w:trHeight w:val="495" w:hRule="atLeast"/>
        </w:trPr>
        <w:tc>
          <w:tcPr>
            <w:tcW w:w="563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July 14, 2026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9 to 10 a.m.</w:t>
            </w:r>
          </w:p>
        </w:tc>
        <w:tc>
          <w:tcPr>
            <w:tcW w:w="563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Borlaug Conference Room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Hoover State Office Building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Des Moines, Iowa</w:t>
            </w:r>
          </w:p>
        </w:tc>
      </w:tr>
    </w:tbl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Public Comment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Any interested person may submit written comments concerning this Regulatory Analysis, which must be received by the Soil Conservation and Water Quality Division no later than 4:30 p.m. on the date of the public hearing. Comments should be directed to:</w:t>
      </w:r>
    </w:p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11264"/>
      </w:tblGrid>
      <w:tr>
        <w:trPr>
          <w:trHeight w:val="645" w:hRule="atLeast"/>
        </w:trPr>
        <w:tc>
          <w:tcPr>
            <w:tcW w:w="11264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Colin Tadlock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1305 East Walnut Street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Des Moines, Iowa 50319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 xml:space="preserve">Email: </w:t>
            </w:r>
            <w:hyperlink r:id="rId4">
              <w:r>
                <w:rPr>
                  <w:rStyle w:val="Hyperlink"/>
                  <w:rFonts w:ascii="Times New Roman" w:hAnsi="Times New Roman"/>
                  <w:b w:val="false"/>
                  <w:i w:val="false"/>
                  <w:color w:val="0000ff"/>
                  <w:sz w:val="14"/>
                </w:rPr>
                <w:t>colin.tadlock@iowaagriculture.gov</w:t>
              </w:r>
            </w:hyperlink>
          </w:p>
        </w:tc>
      </w:tr>
    </w:tbl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Purpose and Summary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This proposed rulemaking rescinds Chapter 20 because the rules are obsolete and have been superseded by the federal conservation planning program/process that has been adopted and is currently utilized by the Iowa Department of Agriculture and Land Stewardship (IDALS) and soil and water conservation districts (SWCDs).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Analysis of Impact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1.   </w:t>
      </w:r>
      <w:r>
        <w:rPr>
          <w:rFonts w:ascii="Times New Roman" w:hAnsi="Times New Roman"/>
          <w:b/>
          <w:i w:val="false"/>
          <w:color w:val="000000"/>
          <w:sz w:val="24"/>
        </w:rPr>
        <w:t>Persons affected by the proposed rulemaking: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/>
          <w:i w:val="false"/>
          <w:color w:val="000000"/>
          <w:sz w:val="24"/>
        </w:rPr>
        <w:t>Classes of persons that will bear the costs of the proposed rulemaking: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No costs are incurred by the public to comply with this proposed rulemaking.</w:t>
      </w: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/>
          <w:i w:val="false"/>
          <w:color w:val="000000"/>
          <w:sz w:val="24"/>
        </w:rPr>
        <w:t>Classes of persons that will benefit from the proposed rulemaking: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No persons will benefit or be impacted by the rescission of these rules.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</w:t>
      </w: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2.   </w:t>
      </w:r>
      <w:r>
        <w:rPr>
          <w:rFonts w:ascii="Times New Roman" w:hAnsi="Times New Roman"/>
          <w:b/>
          <w:i w:val="false"/>
          <w:color w:val="000000"/>
          <w:sz w:val="24"/>
        </w:rPr>
        <w:t>Impact of the proposed rulemaking, economic or otherwise, including the nature and amount of all the different kinds of costs that would be incurred: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/>
          <w:i w:val="false"/>
          <w:color w:val="000000"/>
          <w:sz w:val="24"/>
        </w:rPr>
        <w:t>Quantitative description of impact: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Rescission of these rules will not have any impact since the rules are obsolete and have been superseded by a federal conservation planning program that is utilized by IDALS and SWCDs.</w:t>
      </w: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/>
          <w:i w:val="false"/>
          <w:color w:val="000000"/>
          <w:sz w:val="24"/>
        </w:rPr>
        <w:t>Qualitative description of impact: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Rescission of these rules will not have any impact since the rules are obsolete and have been superseded by a federal conservation planning program that is utilized by IDALS and SWCDs. 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</w:t>
      </w: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3.   </w:t>
      </w:r>
      <w:r>
        <w:rPr>
          <w:rFonts w:ascii="Times New Roman" w:hAnsi="Times New Roman"/>
          <w:b/>
          <w:i w:val="false"/>
          <w:color w:val="000000"/>
          <w:sz w:val="24"/>
        </w:rPr>
        <w:t>Costs to the State: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/>
          <w:i w:val="false"/>
          <w:color w:val="000000"/>
          <w:sz w:val="24"/>
        </w:rPr>
        <w:t>Implementation and enforcement costs borne by the agency or any other agency: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This rulemaking has no impact on costs since these rules are not utilized (superseded by federal programs) and are obsolete.</w:t>
      </w: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/>
          <w:i w:val="false"/>
          <w:color w:val="000000"/>
          <w:sz w:val="24"/>
        </w:rPr>
        <w:t>Anticipated effect on State revenues: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There are no anticipated effects on State revenues since these rules are not utilized (superseded by federal programs) and are obsolete.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</w:t>
      </w: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4.   </w:t>
      </w:r>
      <w:r>
        <w:rPr>
          <w:rFonts w:ascii="Times New Roman" w:hAnsi="Times New Roman"/>
          <w:b/>
          <w:i w:val="false"/>
          <w:color w:val="000000"/>
          <w:sz w:val="24"/>
        </w:rPr>
        <w:t>Comparison of the costs and benefits of the proposed rulemaking to the costs and benefits of inaction: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Not applicable.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</w:t>
      </w: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5.   </w:t>
      </w:r>
      <w:r>
        <w:rPr>
          <w:rFonts w:ascii="Times New Roman" w:hAnsi="Times New Roman"/>
          <w:b/>
          <w:i w:val="false"/>
          <w:color w:val="000000"/>
          <w:sz w:val="24"/>
        </w:rPr>
        <w:t>Determination whether less costly methods or less intrusive methods exist for achieving the purpose of the proposed rulemaking: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Not applicable.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</w:t>
      </w: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6.   </w:t>
      </w:r>
      <w:r>
        <w:rPr>
          <w:rFonts w:ascii="Times New Roman" w:hAnsi="Times New Roman"/>
          <w:b/>
          <w:i w:val="false"/>
          <w:color w:val="000000"/>
          <w:sz w:val="24"/>
        </w:rPr>
        <w:t>Alternative methods considered by the agency: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/>
          <w:i w:val="false"/>
          <w:color w:val="000000"/>
          <w:sz w:val="24"/>
        </w:rPr>
        <w:t>Description of any alternative methods that were seriously considered by the agency: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Not applicable.</w:t>
      </w: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/>
          <w:i w:val="false"/>
          <w:color w:val="000000"/>
          <w:sz w:val="24"/>
        </w:rPr>
        <w:t>Reasons why alternative methods were rejected in favor of the proposed rulemaking: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None were considered. These rules are no longer applicable because they have been replaced by federal programs.</w:t>
      </w: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Small Business Impact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/>
          <w:i w:val="false"/>
          <w:color w:val="000000"/>
          <w:sz w:val="24"/>
        </w:rPr>
        <w:t>If the rulemaking will have a substantial impact on small business, include a discussion of whether it would be feasible and practicable to do any of the following to reduce the impact of the rulemaking on small business: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Establish less stringent compliance or reporting requirements in the rulemaking for small business.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Establish less stringent schedules or deadlines in the rulemaking for compliance or reporting requirements for small business.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Consolidate or simplify the rulemaking’s compliance or reporting requirements for small business.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Establish performance standards to replace design or operational standards in the rulemaking for small business.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Exempt small business from any or all requirements of the rulemaking.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/>
          <w:i w:val="false"/>
          <w:color w:val="000000"/>
          <w:sz w:val="24"/>
        </w:rPr>
        <w:t>If legal and feasible, how does the rulemaking use a method discussed above to reduce the substantial impact on small business?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The rescission of this chapter will have no significant impact on small business.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Text of Proposed Rulemaking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ITEM 1.</w:t>
      </w:r>
      <w:r>
        <w:rPr>
          <w:rFonts w:ascii="Times New Roman" w:hAnsi="Times New Roman"/>
          <w:b w:val="false"/>
          <w:i w:val="false"/>
          <w:color w:val="000000"/>
          <w:sz w:val="24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Rescind and reserve </w:t>
      </w:r>
      <w:r>
        <w:rPr>
          <w:rFonts w:ascii="Times New Roman" w:hAnsi="Times New Roman"/>
          <w:b/>
          <w:i w:val="false"/>
          <w:color w:val="000000"/>
          <w:sz w:val="24"/>
        </w:rPr>
        <w:t>27—Chapter 20</w:t>
      </w:r>
      <w:r>
        <w:rPr>
          <w:rFonts w:ascii="Times New Roman" w:hAnsi="Times New Roman"/>
          <w:b w:val="false"/>
          <w:i w:val="false"/>
          <w:color w:val="000000"/>
          <w:sz w:val="24"/>
        </w:rPr>
        <w:t>.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mailto:colin.tadlock@iowaagriculture.gov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